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A8" w:rsidRPr="00C206DE" w:rsidRDefault="00A676A8" w:rsidP="00A676A8">
      <w:pPr>
        <w:pStyle w:val="8"/>
        <w:jc w:val="right"/>
        <w:rPr>
          <w:kern w:val="22"/>
        </w:rPr>
      </w:pPr>
      <w:r w:rsidRPr="001B5F34">
        <w:rPr>
          <w:kern w:val="22"/>
        </w:rPr>
        <w:t>УТВЕРЖДЕН</w:t>
      </w:r>
      <w:r w:rsidRPr="00C206DE">
        <w:rPr>
          <w:kern w:val="22"/>
        </w:rPr>
        <w:t xml:space="preserve"> </w:t>
      </w:r>
    </w:p>
    <w:p w:rsidR="00665FCC" w:rsidRPr="00C206DE" w:rsidRDefault="00697D8F" w:rsidP="00697D8F">
      <w:pPr>
        <w:jc w:val="right"/>
        <w:rPr>
          <w:kern w:val="22"/>
        </w:rPr>
      </w:pPr>
      <w:r w:rsidRPr="001B5F34">
        <w:rPr>
          <w:kern w:val="22"/>
        </w:rPr>
        <w:t>р</w:t>
      </w:r>
      <w:r w:rsidR="00C52DE3" w:rsidRPr="001B5F34">
        <w:rPr>
          <w:kern w:val="22"/>
        </w:rPr>
        <w:t>ешением</w:t>
      </w:r>
      <w:r w:rsidR="00C52DE3" w:rsidRPr="00C206DE">
        <w:rPr>
          <w:kern w:val="22"/>
        </w:rPr>
        <w:t xml:space="preserve"> </w:t>
      </w:r>
      <w:r w:rsidR="008253C3" w:rsidRPr="00C206DE">
        <w:rPr>
          <w:kern w:val="22"/>
        </w:rPr>
        <w:t>общего собрания учредителей</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0E740C" w:rsidP="00C52DE3">
      <w:pPr>
        <w:jc w:val="right"/>
        <w:rPr>
          <w:kern w:val="22"/>
          <w:lang w:val="lt-LT"/>
        </w:rPr>
      </w:pPr>
      <w:bookmarkStart w:id="0" w:name="_GoBack"/>
      <w:r>
        <w:rPr>
          <w:kern w:val="22"/>
        </w:rPr>
        <w:t>ООО «</w:t>
      </w:r>
      <w:proofErr w:type="spellStart"/>
      <w:r>
        <w:rPr>
          <w:kern w:val="22"/>
        </w:rPr>
        <w:t>Заковед.ру</w:t>
      </w:r>
      <w:proofErr w:type="spellEnd"/>
      <w:r>
        <w:rPr>
          <w:kern w:val="22"/>
        </w:rPr>
        <w:t>»</w:t>
      </w:r>
    </w:p>
    <w:bookmarkEnd w:id="0"/>
    <w:p w:rsidR="00600768" w:rsidRPr="00C206DE" w:rsidRDefault="008253C3" w:rsidP="00C52DE3">
      <w:pPr>
        <w:jc w:val="right"/>
        <w:rPr>
          <w:b/>
          <w:kern w:val="22"/>
        </w:rPr>
      </w:pPr>
      <w:r w:rsidRPr="00C206DE">
        <w:rPr>
          <w:kern w:val="22"/>
        </w:rPr>
        <w:t>Протокол</w:t>
      </w:r>
      <w:r w:rsidR="00C52DE3" w:rsidRPr="00C206DE">
        <w:rPr>
          <w:kern w:val="22"/>
        </w:rPr>
        <w:t xml:space="preserve"> </w:t>
      </w:r>
      <w:r w:rsidR="00A676A8" w:rsidRPr="00C206DE">
        <w:rPr>
          <w:kern w:val="22"/>
        </w:rPr>
        <w:t>№</w:t>
      </w:r>
      <w:r w:rsidR="008B2C31" w:rsidRPr="00C206DE">
        <w:rPr>
          <w:kern w:val="22"/>
        </w:rPr>
        <w:t xml:space="preserve"> 1</w:t>
      </w:r>
      <w:r w:rsidR="00A676A8" w:rsidRPr="00C206DE">
        <w:rPr>
          <w:kern w:val="22"/>
        </w:rPr>
        <w:t xml:space="preserve"> </w:t>
      </w:r>
      <w:r w:rsidR="00A676A8" w:rsidRPr="001B5F34">
        <w:rPr>
          <w:kern w:val="22"/>
        </w:rPr>
        <w:t>от</w:t>
      </w:r>
      <w:r w:rsidR="00F70D27" w:rsidRPr="00C206DE">
        <w:rPr>
          <w:kern w:val="22"/>
        </w:rPr>
        <w:t xml:space="preserve"> </w:t>
      </w:r>
      <w:r w:rsidRPr="00C206DE">
        <w:rPr>
          <w:kern w:val="22"/>
        </w:rPr>
        <w:t xml:space="preserve">08 января </w:t>
      </w:r>
      <w:r w:rsidR="00ED30F5">
        <w:rPr>
          <w:kern w:val="22"/>
        </w:rPr>
        <w:t>2017</w:t>
      </w:r>
      <w:r w:rsidRPr="00C206DE">
        <w:rPr>
          <w:kern w:val="22"/>
        </w:rPr>
        <w:t xml:space="preserve"> г.</w:t>
      </w:r>
    </w:p>
    <w:p w:rsidR="00600768" w:rsidRPr="00C206DE" w:rsidRDefault="00600768" w:rsidP="00600768">
      <w:pPr>
        <w:jc w:val="right"/>
        <w:rPr>
          <w:kern w:val="22"/>
        </w:rPr>
      </w:pPr>
    </w:p>
    <w:p w:rsidR="00600768" w:rsidRPr="00C206DE" w:rsidRDefault="00600768" w:rsidP="00600768">
      <w:pPr>
        <w:spacing w:after="222"/>
        <w:ind w:firstLine="284"/>
        <w:jc w:val="center"/>
        <w:rPr>
          <w:kern w:val="22"/>
        </w:rPr>
      </w:pPr>
    </w:p>
    <w:p w:rsidR="00600768" w:rsidRPr="00C206DE" w:rsidRDefault="00600768" w:rsidP="00600768">
      <w:pPr>
        <w:rPr>
          <w:kern w:val="22"/>
        </w:rPr>
      </w:pPr>
    </w:p>
    <w:p w:rsidR="0058427E" w:rsidRPr="00C206DE" w:rsidRDefault="0058427E" w:rsidP="0058427E">
      <w:pPr>
        <w:spacing w:after="222"/>
        <w:ind w:firstLine="284"/>
        <w:jc w:val="center"/>
        <w:rPr>
          <w:kern w:val="22"/>
        </w:rPr>
      </w:pPr>
    </w:p>
    <w:p w:rsidR="0058427E" w:rsidRPr="00C206DE" w:rsidRDefault="0058427E" w:rsidP="0058427E">
      <w:pPr>
        <w:spacing w:after="222"/>
        <w:ind w:firstLine="284"/>
        <w:jc w:val="center"/>
        <w:rPr>
          <w:kern w:val="22"/>
        </w:rPr>
      </w:pPr>
    </w:p>
    <w:p w:rsidR="00600768" w:rsidRPr="00C206DE" w:rsidRDefault="00600768" w:rsidP="00600768">
      <w:pPr>
        <w:spacing w:after="222"/>
        <w:ind w:firstLine="284"/>
        <w:jc w:val="center"/>
        <w:rPr>
          <w:kern w:val="22"/>
        </w:rPr>
      </w:pPr>
    </w:p>
    <w:p w:rsidR="00600768" w:rsidRPr="00C206DE" w:rsidRDefault="00600768" w:rsidP="0004284C">
      <w:pPr>
        <w:pStyle w:val="2"/>
        <w:jc w:val="center"/>
        <w:rPr>
          <w:rFonts w:ascii="Times New Roman" w:hAnsi="Times New Roman" w:cs="Times New Roman"/>
          <w:kern w:val="22"/>
          <w:sz w:val="40"/>
        </w:rPr>
      </w:pPr>
    </w:p>
    <w:p w:rsidR="00600768" w:rsidRPr="00C206DE" w:rsidRDefault="00600768" w:rsidP="00600768">
      <w:pPr>
        <w:rPr>
          <w:kern w:val="22"/>
        </w:rPr>
      </w:pPr>
    </w:p>
    <w:p w:rsidR="00600768" w:rsidRPr="001B5F34" w:rsidRDefault="00600768" w:rsidP="00600768">
      <w:pPr>
        <w:rPr>
          <w:kern w:val="22"/>
          <w:lang w:val="lt-LT"/>
        </w:rPr>
      </w:pPr>
    </w:p>
    <w:p w:rsidR="00600768" w:rsidRPr="00C206DE" w:rsidRDefault="00600768" w:rsidP="00600768">
      <w:pPr>
        <w:rPr>
          <w:kern w:val="22"/>
        </w:rPr>
      </w:pPr>
    </w:p>
    <w:p w:rsidR="00600768" w:rsidRPr="00C206DE" w:rsidRDefault="00600768" w:rsidP="00600768">
      <w:pPr>
        <w:rPr>
          <w:kern w:val="22"/>
        </w:rPr>
      </w:pPr>
    </w:p>
    <w:p w:rsidR="00600768" w:rsidRPr="00C206DE" w:rsidRDefault="00600768" w:rsidP="00600768">
      <w:pPr>
        <w:rPr>
          <w:kern w:val="22"/>
        </w:rPr>
      </w:pPr>
    </w:p>
    <w:p w:rsidR="00600768" w:rsidRPr="00C206DE" w:rsidRDefault="00600768" w:rsidP="00600768">
      <w:pPr>
        <w:rPr>
          <w:kern w:val="22"/>
        </w:rPr>
      </w:pPr>
    </w:p>
    <w:p w:rsidR="00CB5B12" w:rsidRPr="00C206DE" w:rsidRDefault="00CB5B12" w:rsidP="00600768">
      <w:pPr>
        <w:rPr>
          <w:kern w:val="22"/>
        </w:rPr>
      </w:pPr>
    </w:p>
    <w:p w:rsidR="00600768" w:rsidRPr="00C206DE" w:rsidRDefault="00600768" w:rsidP="00600768">
      <w:pPr>
        <w:rPr>
          <w:kern w:val="22"/>
        </w:rPr>
      </w:pPr>
    </w:p>
    <w:p w:rsidR="00600768" w:rsidRPr="001B5F34" w:rsidRDefault="00600768" w:rsidP="00600768">
      <w:pPr>
        <w:jc w:val="center"/>
        <w:rPr>
          <w:b/>
          <w:bCs/>
          <w:kern w:val="22"/>
          <w:sz w:val="40"/>
        </w:rPr>
      </w:pPr>
      <w:bookmarkStart w:id="1" w:name="_Toc131409625"/>
      <w:r w:rsidRPr="001B5F34">
        <w:rPr>
          <w:b/>
          <w:bCs/>
          <w:kern w:val="22"/>
          <w:sz w:val="40"/>
        </w:rPr>
        <w:t>У С Т А В</w:t>
      </w:r>
      <w:bookmarkEnd w:id="1"/>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C206DE" w:rsidRDefault="000E740C" w:rsidP="00600768">
      <w:pPr>
        <w:jc w:val="center"/>
        <w:rPr>
          <w:b/>
          <w:bCs/>
          <w:kern w:val="22"/>
          <w:sz w:val="40"/>
        </w:rPr>
      </w:pPr>
      <w:r>
        <w:rPr>
          <w:b/>
          <w:bCs/>
          <w:kern w:val="22"/>
          <w:sz w:val="40"/>
        </w:rPr>
        <w:t>ООО «</w:t>
      </w:r>
      <w:proofErr w:type="spellStart"/>
      <w:r>
        <w:rPr>
          <w:b/>
          <w:bCs/>
          <w:kern w:val="22"/>
          <w:sz w:val="40"/>
        </w:rPr>
        <w:t>Заковед.ру</w:t>
      </w:r>
      <w:proofErr w:type="spellEnd"/>
      <w:r>
        <w:rPr>
          <w:b/>
          <w:bCs/>
          <w:kern w:val="22"/>
          <w:sz w:val="40"/>
        </w:rPr>
        <w:t>»</w:t>
      </w:r>
    </w:p>
    <w:p w:rsidR="00600768" w:rsidRPr="00C206DE" w:rsidRDefault="00600768"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600768" w:rsidRPr="00C206DE" w:rsidRDefault="00600768" w:rsidP="00600768">
      <w:pPr>
        <w:jc w:val="center"/>
        <w:rPr>
          <w:kern w:val="22"/>
        </w:rPr>
      </w:pPr>
    </w:p>
    <w:p w:rsidR="00554F85" w:rsidRPr="00C206DE" w:rsidRDefault="00554F85" w:rsidP="00600768">
      <w:pPr>
        <w:jc w:val="center"/>
        <w:rPr>
          <w:kern w:val="22"/>
        </w:rPr>
      </w:pPr>
    </w:p>
    <w:p w:rsidR="00554F85" w:rsidRPr="00C206DE" w:rsidRDefault="00554F85" w:rsidP="00600768">
      <w:pPr>
        <w:jc w:val="center"/>
        <w:rPr>
          <w:kern w:val="22"/>
        </w:rPr>
      </w:pPr>
    </w:p>
    <w:p w:rsidR="00554F85" w:rsidRPr="00C206DE" w:rsidRDefault="00554F85" w:rsidP="00600768">
      <w:pPr>
        <w:jc w:val="center"/>
        <w:rPr>
          <w:kern w:val="22"/>
        </w:rPr>
      </w:pPr>
    </w:p>
    <w:p w:rsidR="00554F85" w:rsidRPr="00C206DE" w:rsidRDefault="00554F85" w:rsidP="00600768">
      <w:pPr>
        <w:jc w:val="center"/>
        <w:rPr>
          <w:kern w:val="22"/>
        </w:rPr>
      </w:pPr>
    </w:p>
    <w:p w:rsidR="00600768" w:rsidRPr="00C206DE" w:rsidRDefault="00600768" w:rsidP="00600768">
      <w:pPr>
        <w:jc w:val="center"/>
        <w:rPr>
          <w:kern w:val="22"/>
        </w:rPr>
      </w:pPr>
    </w:p>
    <w:p w:rsidR="00600768" w:rsidRPr="00C206DE" w:rsidRDefault="00600768" w:rsidP="00600768">
      <w:pPr>
        <w:jc w:val="center"/>
        <w:rPr>
          <w:kern w:val="22"/>
        </w:rPr>
      </w:pPr>
    </w:p>
    <w:p w:rsidR="00600768" w:rsidRPr="00C206DE" w:rsidRDefault="00600768" w:rsidP="00600768">
      <w:pPr>
        <w:jc w:val="center"/>
        <w:rPr>
          <w:kern w:val="22"/>
        </w:rPr>
      </w:pPr>
    </w:p>
    <w:p w:rsidR="00C52DE3" w:rsidRPr="00C206DE" w:rsidRDefault="00C52DE3" w:rsidP="00C52DE3">
      <w:pPr>
        <w:rPr>
          <w:kern w:val="22"/>
        </w:rPr>
      </w:pPr>
    </w:p>
    <w:p w:rsidR="00600768" w:rsidRPr="00C206DE" w:rsidRDefault="00600768" w:rsidP="00600768">
      <w:pPr>
        <w:jc w:val="center"/>
        <w:rPr>
          <w:kern w:val="22"/>
        </w:rPr>
      </w:pPr>
    </w:p>
    <w:p w:rsidR="00600768" w:rsidRPr="00C206DE" w:rsidRDefault="00600768" w:rsidP="00600768">
      <w:pPr>
        <w:jc w:val="center"/>
        <w:rPr>
          <w:kern w:val="22"/>
        </w:rPr>
      </w:pPr>
    </w:p>
    <w:p w:rsidR="00600768" w:rsidRPr="00C206DE" w:rsidRDefault="00600768" w:rsidP="00600768">
      <w:pPr>
        <w:jc w:val="center"/>
        <w:rPr>
          <w:kern w:val="22"/>
        </w:rPr>
      </w:pPr>
    </w:p>
    <w:p w:rsidR="00600768" w:rsidRPr="00C206DE" w:rsidRDefault="00600768" w:rsidP="00600768">
      <w:pPr>
        <w:jc w:val="center"/>
        <w:rPr>
          <w:kern w:val="22"/>
        </w:rPr>
      </w:pPr>
    </w:p>
    <w:p w:rsidR="00600768" w:rsidRPr="00C206DE" w:rsidRDefault="00ED30F5" w:rsidP="00600768">
      <w:pPr>
        <w:jc w:val="center"/>
        <w:rPr>
          <w:kern w:val="22"/>
        </w:rPr>
      </w:pPr>
      <w:r>
        <w:rPr>
          <w:kern w:val="22"/>
        </w:rPr>
        <w:t>город</w:t>
      </w:r>
      <w:r w:rsidR="008253C3" w:rsidRPr="00C206DE">
        <w:rPr>
          <w:kern w:val="22"/>
        </w:rPr>
        <w:t xml:space="preserve"> </w:t>
      </w:r>
      <w:r>
        <w:rPr>
          <w:kern w:val="22"/>
        </w:rPr>
        <w:t>Москва</w:t>
      </w:r>
    </w:p>
    <w:p w:rsidR="00600768" w:rsidRPr="00334870" w:rsidRDefault="00ED30F5" w:rsidP="00600768">
      <w:pPr>
        <w:jc w:val="center"/>
        <w:rPr>
          <w:kern w:val="22"/>
        </w:rPr>
      </w:pPr>
      <w:r>
        <w:rPr>
          <w:kern w:val="22"/>
        </w:rPr>
        <w:t>2017</w:t>
      </w:r>
      <w:r w:rsidR="008253C3" w:rsidRPr="00334870">
        <w:rPr>
          <w:kern w:val="22"/>
        </w:rPr>
        <w:t xml:space="preserve"> год</w:t>
      </w:r>
    </w:p>
    <w:p w:rsidR="00FA716B" w:rsidRPr="001B5F34" w:rsidRDefault="00600768" w:rsidP="00554F85">
      <w:pPr>
        <w:keepLines/>
        <w:suppressAutoHyphens/>
        <w:jc w:val="center"/>
        <w:rPr>
          <w:szCs w:val="22"/>
        </w:rPr>
      </w:pPr>
      <w:r w:rsidRPr="001B5F34">
        <w:rPr>
          <w:kern w:val="22"/>
        </w:rPr>
        <w:br w:type="page"/>
      </w:r>
    </w:p>
    <w:p w:rsidR="00FA716B" w:rsidRPr="001B5F34" w:rsidRDefault="00FA716B" w:rsidP="00FA716B">
      <w:pPr>
        <w:pStyle w:val="5"/>
        <w:jc w:val="both"/>
        <w:rPr>
          <w:i w:val="0"/>
          <w:sz w:val="22"/>
          <w:szCs w:val="22"/>
        </w:rPr>
      </w:pPr>
      <w:bookmarkStart w:id="2" w:name="_Toc128891877"/>
      <w:bookmarkStart w:id="3" w:name="_Toc131409626"/>
      <w:bookmarkStart w:id="4" w:name="_Toc131573198"/>
      <w:bookmarkStart w:id="5" w:name="_Toc368045344"/>
      <w:r w:rsidRPr="001B5F34">
        <w:rPr>
          <w:i w:val="0"/>
          <w:sz w:val="22"/>
          <w:szCs w:val="22"/>
        </w:rPr>
        <w:lastRenderedPageBreak/>
        <w:t>1. НАИМЕНОВАНИЕ, МЕСТО НАХОЖДЕНИЯ И СРОК ДЕЯТЕЛЬНОСТИ ОБЩЕСТВА</w:t>
      </w:r>
      <w:bookmarkEnd w:id="2"/>
      <w:bookmarkEnd w:id="3"/>
      <w:bookmarkEnd w:id="4"/>
      <w:bookmarkEnd w:id="5"/>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 xml:space="preserve">Общества с ограниченной ответственностью </w:t>
      </w:r>
      <w:r w:rsidR="000E740C">
        <w:t>ООО «</w:t>
      </w:r>
      <w:proofErr w:type="spellStart"/>
      <w:r w:rsidR="000E740C">
        <w:t>Заковед.ру</w:t>
      </w:r>
      <w:proofErr w:type="spellEnd"/>
      <w:r w:rsidR="000E740C">
        <w:t>»</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rPr>
          <w:color w:val="000000"/>
          <w:sz w:val="24"/>
        </w:rPr>
        <w:t xml:space="preserve">            – Полное фирменное наименование Общества на русском языке – Общество с ограниченной ответственностью </w:t>
      </w:r>
      <w:r w:rsidR="000E740C">
        <w:rPr>
          <w:color w:val="000000"/>
          <w:sz w:val="24"/>
        </w:rPr>
        <w:t>ООО «</w:t>
      </w:r>
      <w:proofErr w:type="spellStart"/>
      <w:r w:rsidR="000E740C">
        <w:rPr>
          <w:color w:val="000000"/>
          <w:sz w:val="24"/>
        </w:rPr>
        <w:t>Заковед.ру</w:t>
      </w:r>
      <w:proofErr w:type="spellEnd"/>
      <w:r w:rsidR="000E740C">
        <w:rPr>
          <w:color w:val="000000"/>
          <w:sz w:val="24"/>
        </w:rPr>
        <w:t>»</w:t>
      </w:r>
      <w:r>
        <w:rPr>
          <w:color w:val="000000"/>
          <w:sz w:val="24"/>
        </w:rPr>
        <w:t>.</w:t>
      </w:r>
      <w:r>
        <w:rPr>
          <w:color w:val="000000"/>
          <w:sz w:val="24"/>
        </w:rPr>
        <w:br/>
        <w:t xml:space="preserve">           – Сокращенное фирменное наименование Общества на русском языке – ООО </w:t>
      </w:r>
      <w:proofErr w:type="spellStart"/>
      <w:r w:rsidR="000E740C">
        <w:rPr>
          <w:color w:val="000000"/>
          <w:sz w:val="24"/>
        </w:rPr>
        <w:t>ООО</w:t>
      </w:r>
      <w:proofErr w:type="spellEnd"/>
      <w:r w:rsidR="000E740C">
        <w:rPr>
          <w:color w:val="000000"/>
          <w:sz w:val="24"/>
        </w:rPr>
        <w:t xml:space="preserve"> «</w:t>
      </w:r>
      <w:proofErr w:type="spellStart"/>
      <w:r w:rsidR="000E740C">
        <w:rPr>
          <w:color w:val="000000"/>
          <w:sz w:val="24"/>
        </w:rPr>
        <w:t>Заковед.ру</w:t>
      </w:r>
      <w:proofErr w:type="spellEnd"/>
      <w:r w:rsidR="000E740C">
        <w:rPr>
          <w:color w:val="000000"/>
          <w:sz w:val="24"/>
        </w:rPr>
        <w:t>»</w:t>
      </w:r>
      <w:r>
        <w:rPr>
          <w:color w:val="000000"/>
          <w:sz w:val="24"/>
        </w:rPr>
        <w:t>.</w:t>
      </w:r>
    </w:p>
    <w:p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ED30F5">
        <w:rPr>
          <w:b/>
          <w:kern w:val="22"/>
          <w:szCs w:val="22"/>
        </w:rPr>
        <w:t>111111</w:t>
      </w:r>
      <w:r w:rsidR="008253C3" w:rsidRPr="003B0E96">
        <w:rPr>
          <w:b/>
          <w:kern w:val="22"/>
          <w:szCs w:val="22"/>
        </w:rPr>
        <w:t xml:space="preserve">, Российская Федерация, </w:t>
      </w:r>
      <w:r w:rsidR="00ED30F5">
        <w:rPr>
          <w:b/>
          <w:kern w:val="22"/>
          <w:szCs w:val="22"/>
        </w:rPr>
        <w:t>г. Москва</w:t>
      </w:r>
      <w:r w:rsidR="008253C3" w:rsidRPr="003B0E96">
        <w:rPr>
          <w:b/>
          <w:kern w:val="22"/>
          <w:szCs w:val="22"/>
        </w:rPr>
        <w:t xml:space="preserve">, улица </w:t>
      </w:r>
      <w:r w:rsidR="00ED30F5">
        <w:rPr>
          <w:b/>
          <w:kern w:val="22"/>
          <w:szCs w:val="22"/>
        </w:rPr>
        <w:t>Снигирева</w:t>
      </w:r>
      <w:r w:rsidR="008253C3" w:rsidRPr="003B0E96">
        <w:rPr>
          <w:b/>
          <w:kern w:val="22"/>
          <w:szCs w:val="22"/>
        </w:rPr>
        <w:t xml:space="preserve">, дом 9, офис </w:t>
      </w:r>
      <w:r w:rsidR="00ED30F5">
        <w:rPr>
          <w:b/>
          <w:kern w:val="22"/>
          <w:szCs w:val="22"/>
        </w:rPr>
        <w:t>78</w:t>
      </w:r>
      <w:r w:rsidR="006B3D05" w:rsidRPr="001B5F34">
        <w:rPr>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2E6BE6" w:rsidRPr="002E6BE6" w:rsidRDefault="002E6BE6" w:rsidP="00370F58">
      <w:pPr>
        <w:keepLines/>
        <w:numPr>
          <w:ilvl w:val="1"/>
          <w:numId w:val="1"/>
        </w:numPr>
        <w:tabs>
          <w:tab w:val="clear" w:pos="792"/>
          <w:tab w:val="num" w:pos="540"/>
        </w:tabs>
        <w:suppressAutoHyphens/>
        <w:ind w:left="0" w:firstLine="0"/>
        <w:jc w:val="both"/>
        <w:rPr>
          <w:kern w:val="22"/>
          <w:szCs w:val="22"/>
        </w:rPr>
      </w:pPr>
      <w:r w:rsidRPr="002E6BE6">
        <w:rPr>
          <w:kern w:val="22"/>
          <w:szCs w:val="22"/>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w:t>
      </w:r>
      <w:r>
        <w:rPr>
          <w:kern w:val="22"/>
          <w:szCs w:val="22"/>
        </w:rPr>
        <w:t>смыслу к недействительному</w:t>
      </w:r>
      <w:r w:rsidRPr="002E6BE6">
        <w:rPr>
          <w:kern w:val="22"/>
          <w:szCs w:val="22"/>
        </w:rPr>
        <w:t>.</w:t>
      </w:r>
    </w:p>
    <w:p w:rsidR="001B562C" w:rsidRPr="001B5F34" w:rsidRDefault="001B562C" w:rsidP="001B562C">
      <w:pPr>
        <w:pStyle w:val="5"/>
        <w:jc w:val="center"/>
        <w:rPr>
          <w:i w:val="0"/>
          <w:sz w:val="22"/>
          <w:szCs w:val="22"/>
        </w:rPr>
      </w:pPr>
      <w:bookmarkStart w:id="6" w:name="_Toc368045345"/>
      <w:r w:rsidRPr="001B5F34">
        <w:rPr>
          <w:i w:val="0"/>
          <w:sz w:val="22"/>
          <w:szCs w:val="22"/>
        </w:rPr>
        <w:t>2. УЧАСТНИКИ ОБЩЕСТВА</w:t>
      </w:r>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rPr>
          <w:color w:val="000000"/>
          <w:sz w:val="24"/>
        </w:rPr>
        <w:t xml:space="preserve">            – Деятельность экстерриториальных организаций.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lastRenderedPageBreak/>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Решение о создании филиалов и </w:t>
      </w:r>
      <w:proofErr w:type="gramStart"/>
      <w:r w:rsidRPr="001B5F34">
        <w:rPr>
          <w:szCs w:val="22"/>
        </w:rPr>
        <w:t>представительств</w:t>
      </w:r>
      <w:proofErr w:type="gramEnd"/>
      <w:r w:rsidRPr="001B5F34">
        <w:rPr>
          <w:szCs w:val="22"/>
        </w:rPr>
        <w:t xml:space="preserve">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lastRenderedPageBreak/>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w:t>
      </w:r>
      <w:r w:rsidRPr="001B5F34">
        <w:rPr>
          <w:szCs w:val="22"/>
        </w:rPr>
        <w:lastRenderedPageBreak/>
        <w:t xml:space="preserve">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lastRenderedPageBreak/>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lastRenderedPageBreak/>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w:t>
      </w:r>
      <w:proofErr w:type="gramStart"/>
      <w:r w:rsidRPr="001B5F34">
        <w:rPr>
          <w:szCs w:val="22"/>
        </w:rPr>
        <w:t>имущества,  стоимость</w:t>
      </w:r>
      <w:proofErr w:type="gramEnd"/>
      <w:r w:rsidRPr="001B5F34">
        <w:rPr>
          <w:szCs w:val="22"/>
        </w:rPr>
        <w:t xml:space="preserve">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предложений в повестку дня этих общих собраний,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решений по вопросам, относящим</w:t>
      </w:r>
      <w:r w:rsidR="00334870">
        <w:rPr>
          <w:rFonts w:ascii="Times New Roman" w:hAnsi="Times New Roman" w:cs="Times New Roman"/>
          <w:kern w:val="22"/>
          <w:sz w:val="22"/>
          <w:szCs w:val="22"/>
        </w:rPr>
        <w:t>ся к компетенции общего собрания</w:t>
      </w:r>
      <w:r w:rsidRPr="001B5F34">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w:t>
      </w:r>
      <w:r w:rsidRPr="001B5F34">
        <w:rPr>
          <w:szCs w:val="22"/>
        </w:rPr>
        <w:lastRenderedPageBreak/>
        <w:t xml:space="preserve">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Общее собрание участников Общества может проводиться в форме совместного </w:t>
      </w:r>
      <w:proofErr w:type="gramStart"/>
      <w:r w:rsidRPr="001B5F34">
        <w:rPr>
          <w:szCs w:val="22"/>
        </w:rPr>
        <w:t>присутствия  (</w:t>
      </w:r>
      <w:proofErr w:type="gramEnd"/>
      <w:r w:rsidRPr="001B5F34">
        <w:rPr>
          <w:szCs w:val="22"/>
        </w:rPr>
        <w:t>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proofErr w:type="spellStart"/>
      <w:r w:rsidRPr="001B5F34">
        <w:rPr>
          <w:szCs w:val="22"/>
        </w:rPr>
        <w:t>Незарегистрировавшийся</w:t>
      </w:r>
      <w:proofErr w:type="spellEnd"/>
      <w:r w:rsidRPr="001B5F34">
        <w:rPr>
          <w:szCs w:val="22"/>
        </w:rPr>
        <w:t xml:space="preserve">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lastRenderedPageBreak/>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w:t>
      </w:r>
      <w:proofErr w:type="gramStart"/>
      <w:r w:rsidRPr="001B5F34">
        <w:rPr>
          <w:szCs w:val="22"/>
        </w:rPr>
        <w:t>долей третьего лица</w:t>
      </w:r>
      <w:proofErr w:type="gramEnd"/>
      <w:r w:rsidRPr="001B5F34">
        <w:rPr>
          <w:szCs w:val="22"/>
        </w:rPr>
        <w:t xml:space="preserve">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lastRenderedPageBreak/>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 об </w:t>
      </w:r>
      <w:r w:rsidR="001B562C" w:rsidRPr="001B5F34">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об </w:t>
      </w:r>
      <w:r w:rsidR="001B562C" w:rsidRPr="001B5F34">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lastRenderedPageBreak/>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1 (один) год</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lastRenderedPageBreak/>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lastRenderedPageBreak/>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sectPr w:rsidR="004A1625" w:rsidRPr="001B5F34" w:rsidSect="00EF0012">
      <w:footerReference w:type="even" r:id="rId7"/>
      <w:footerReference w:type="default" r:id="rId8"/>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8AF" w:rsidRDefault="001728AF">
      <w:r>
        <w:separator/>
      </w:r>
    </w:p>
  </w:endnote>
  <w:endnote w:type="continuationSeparator" w:id="0">
    <w:p w:rsidR="001728AF" w:rsidRDefault="0017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E740C">
      <w:rPr>
        <w:rStyle w:val="a5"/>
        <w:noProof/>
      </w:rPr>
      <w:t>13</w:t>
    </w:r>
    <w:r>
      <w:rPr>
        <w:rStyle w:val="a5"/>
      </w:rPr>
      <w:fldChar w:fldCharType="end"/>
    </w:r>
  </w:p>
  <w:p w:rsidR="0058427E" w:rsidRDefault="0058427E" w:rsidP="004917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8AF" w:rsidRDefault="001728AF">
      <w:r>
        <w:separator/>
      </w:r>
    </w:p>
  </w:footnote>
  <w:footnote w:type="continuationSeparator" w:id="0">
    <w:p w:rsidR="001728AF" w:rsidRDefault="00172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C26166F"/>
    <w:multiLevelType w:val="singleLevel"/>
    <w:tmpl w:val="EF7AE474"/>
    <w:lvl w:ilvl="0">
      <w:start w:val="8"/>
      <w:numFmt w:val="bullet"/>
      <w:lvlText w:val="-"/>
      <w:lvlJc w:val="left"/>
      <w:pPr>
        <w:tabs>
          <w:tab w:val="num" w:pos="360"/>
        </w:tabs>
        <w:ind w:left="360" w:hanging="360"/>
      </w:pPr>
      <w:rPr>
        <w:rFonts w:hint="default"/>
      </w:rPr>
    </w:lvl>
  </w:abstractNum>
  <w:abstractNum w:abstractNumId="27">
    <w:nsid w:val="7F8F6AEC"/>
    <w:multiLevelType w:val="hybridMultilevel"/>
    <w:tmpl w:val="601C65BA"/>
    <w:lvl w:ilvl="0" w:tplc="959532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8"/>
  </w:num>
  <w:num w:numId="5">
    <w:abstractNumId w:val="15"/>
  </w:num>
  <w:num w:numId="6">
    <w:abstractNumId w:val="25"/>
  </w:num>
  <w:num w:numId="7">
    <w:abstractNumId w:val="17"/>
  </w:num>
  <w:num w:numId="8">
    <w:abstractNumId w:val="13"/>
  </w:num>
  <w:num w:numId="9">
    <w:abstractNumId w:val="26"/>
  </w:num>
  <w:num w:numId="10">
    <w:abstractNumId w:val="9"/>
  </w:num>
  <w:num w:numId="11">
    <w:abstractNumId w:val="20"/>
  </w:num>
  <w:num w:numId="12">
    <w:abstractNumId w:val="19"/>
  </w:num>
  <w:num w:numId="13">
    <w:abstractNumId w:val="23"/>
  </w:num>
  <w:num w:numId="14">
    <w:abstractNumId w:val="14"/>
  </w:num>
  <w:num w:numId="15">
    <w:abstractNumId w:val="3"/>
  </w:num>
  <w:num w:numId="16">
    <w:abstractNumId w:val="10"/>
  </w:num>
  <w:num w:numId="17">
    <w:abstractNumId w:val="6"/>
  </w:num>
  <w:num w:numId="18">
    <w:abstractNumId w:val="16"/>
  </w:num>
  <w:num w:numId="19">
    <w:abstractNumId w:val="8"/>
  </w:num>
  <w:num w:numId="20">
    <w:abstractNumId w:val="24"/>
  </w:num>
  <w:num w:numId="21">
    <w:abstractNumId w:val="22"/>
  </w:num>
  <w:num w:numId="22">
    <w:abstractNumId w:val="12"/>
  </w:num>
  <w:num w:numId="23">
    <w:abstractNumId w:val="4"/>
  </w:num>
  <w:num w:numId="24">
    <w:abstractNumId w:val="11"/>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1"/>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40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52D8"/>
    <w:rsid w:val="00156B4C"/>
    <w:rsid w:val="00164812"/>
    <w:rsid w:val="00166131"/>
    <w:rsid w:val="001728AF"/>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6D52"/>
    <w:rsid w:val="003C79E1"/>
    <w:rsid w:val="003D1E55"/>
    <w:rsid w:val="003D3A6C"/>
    <w:rsid w:val="003D6612"/>
    <w:rsid w:val="003D70E0"/>
    <w:rsid w:val="003E3793"/>
    <w:rsid w:val="003E3AB4"/>
    <w:rsid w:val="003F05EF"/>
    <w:rsid w:val="003F1A2E"/>
    <w:rsid w:val="003F3AFD"/>
    <w:rsid w:val="003F5ADB"/>
    <w:rsid w:val="003F6342"/>
    <w:rsid w:val="003F737C"/>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85990"/>
    <w:rsid w:val="00590D11"/>
    <w:rsid w:val="00596FD6"/>
    <w:rsid w:val="00597004"/>
    <w:rsid w:val="005A1E6E"/>
    <w:rsid w:val="005A3B75"/>
    <w:rsid w:val="005B6BED"/>
    <w:rsid w:val="005B74F9"/>
    <w:rsid w:val="005B7A62"/>
    <w:rsid w:val="005C084D"/>
    <w:rsid w:val="005C0B94"/>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5F1F"/>
    <w:rsid w:val="00A3766C"/>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5377"/>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06DE"/>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30F5"/>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491"/>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A2AD88-B744-4395-8326-4964690D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6603</Words>
  <Characters>39423</Characters>
  <Application>Microsoft Office Word</Application>
  <DocSecurity>0</DocSecurity>
  <Lines>1010</Lines>
  <Paragraphs>410</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ООО "СТК-Лаб"</Company>
  <LinksUpToDate>false</LinksUpToDate>
  <CharactersWithSpaces>45616</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subject>регистрация ооо</dc:subject>
  <dc:creator>www.regberry.ru</dc:creator>
  <cp:keywords>регистрация ооо</cp:keywords>
  <cp:lastModifiedBy>Сергей Эдуардович</cp:lastModifiedBy>
  <cp:revision>4</cp:revision>
  <cp:lastPrinted>2009-12-09T13:10:00Z</cp:lastPrinted>
  <dcterms:created xsi:type="dcterms:W3CDTF">2016-01-14T09:13:00Z</dcterms:created>
  <dcterms:modified xsi:type="dcterms:W3CDTF">2017-09-06T05:07:00Z</dcterms:modified>
</cp:coreProperties>
</file>